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15" w:rsidRDefault="00DE4A15" w:rsidP="00DE4A15">
      <w:pPr>
        <w:ind w:right="60"/>
        <w:jc w:val="center"/>
        <w:rPr>
          <w:rFonts w:eastAsia="Arial"/>
          <w:b/>
          <w:bCs/>
          <w:sz w:val="24"/>
          <w:szCs w:val="24"/>
        </w:rPr>
      </w:pPr>
    </w:p>
    <w:p w:rsidR="00DE4A15" w:rsidRDefault="00DE4A15" w:rsidP="00DE4A15">
      <w:pPr>
        <w:ind w:right="60"/>
        <w:jc w:val="center"/>
        <w:rPr>
          <w:rFonts w:eastAsia="Arial"/>
          <w:b/>
          <w:bCs/>
          <w:sz w:val="24"/>
          <w:szCs w:val="24"/>
        </w:rPr>
      </w:pPr>
    </w:p>
    <w:p w:rsidR="00DE4A15" w:rsidRPr="00DE4A15" w:rsidRDefault="00DE4A15" w:rsidP="00DE4A15">
      <w:pPr>
        <w:ind w:right="60"/>
        <w:jc w:val="center"/>
        <w:rPr>
          <w:rFonts w:eastAsia="Arial"/>
          <w:b/>
          <w:bCs/>
          <w:sz w:val="24"/>
          <w:szCs w:val="24"/>
        </w:rPr>
      </w:pPr>
      <w:r w:rsidRPr="00DE4A15">
        <w:rPr>
          <w:rFonts w:eastAsia="Arial"/>
          <w:b/>
          <w:bCs/>
          <w:sz w:val="24"/>
          <w:szCs w:val="24"/>
        </w:rPr>
        <w:t xml:space="preserve">IZJAVA O POLITICI </w:t>
      </w:r>
      <w:r>
        <w:rPr>
          <w:rFonts w:eastAsia="Arial"/>
          <w:b/>
          <w:bCs/>
          <w:sz w:val="24"/>
          <w:szCs w:val="24"/>
        </w:rPr>
        <w:t>KVALITETA</w:t>
      </w:r>
      <w:r w:rsidRPr="00DE4A15">
        <w:rPr>
          <w:rFonts w:eastAsia="Arial"/>
          <w:b/>
          <w:bCs/>
          <w:sz w:val="24"/>
          <w:szCs w:val="24"/>
        </w:rPr>
        <w:t xml:space="preserve"> KONTROLNOG TELA</w:t>
      </w:r>
    </w:p>
    <w:p w:rsidR="00DE4A15" w:rsidRDefault="00DE4A15" w:rsidP="00DE4A15">
      <w:pPr>
        <w:ind w:right="60"/>
        <w:jc w:val="center"/>
        <w:rPr>
          <w:sz w:val="20"/>
          <w:szCs w:val="20"/>
        </w:rPr>
      </w:pPr>
    </w:p>
    <w:p w:rsidR="00DE4A15" w:rsidRDefault="00DE4A15" w:rsidP="00DE4A15">
      <w:pPr>
        <w:spacing w:line="390" w:lineRule="exact"/>
        <w:rPr>
          <w:sz w:val="20"/>
          <w:szCs w:val="20"/>
        </w:rPr>
      </w:pPr>
    </w:p>
    <w:p w:rsidR="00DE4A15" w:rsidRPr="00D37289" w:rsidRDefault="00DE4A15" w:rsidP="00DE4A15">
      <w:pPr>
        <w:spacing w:line="238" w:lineRule="auto"/>
        <w:jc w:val="both"/>
      </w:pPr>
      <w:r w:rsidRPr="00D37289">
        <w:rPr>
          <w:rFonts w:eastAsia="Arial"/>
        </w:rPr>
        <w:t xml:space="preserve">Kontrolno telo </w:t>
      </w:r>
      <w:r w:rsidR="00D37289">
        <w:rPr>
          <w:rFonts w:eastAsia="Arial"/>
        </w:rPr>
        <w:t>INSTITUT BIT DOO</w:t>
      </w:r>
      <w:r w:rsidRPr="00D37289">
        <w:rPr>
          <w:rFonts w:eastAsia="Arial"/>
        </w:rPr>
        <w:t xml:space="preserve"> (u daljem tekstu KT) opredelilo se da svoje poslovne aktivnosti planira i realizuje u ambijentu Sistema menadžmenta kvalitetom (u daljem tekstu SMK), usklađenim sa zahtevima standarda SRPS ISO 9001:2008 i standarda SRPS ISO/IEC 17020:2012</w:t>
      </w:r>
    </w:p>
    <w:p w:rsidR="00DE4A15" w:rsidRPr="00D37289" w:rsidRDefault="00DE4A15" w:rsidP="00DE4A15">
      <w:pPr>
        <w:spacing w:line="67" w:lineRule="exact"/>
      </w:pPr>
    </w:p>
    <w:p w:rsidR="00DE4A15" w:rsidRPr="00D37289" w:rsidRDefault="00DE4A15" w:rsidP="00DE4A15">
      <w:pPr>
        <w:spacing w:line="237" w:lineRule="auto"/>
        <w:jc w:val="both"/>
      </w:pPr>
      <w:r w:rsidRPr="00D37289">
        <w:rPr>
          <w:rFonts w:eastAsia="Arial"/>
        </w:rPr>
        <w:t>Politika KT bazira se na postulatima Politike kvaliteta Organizacije sa ciljem da se odgovori potrebama i zahtevima korisnika usluga KT (klijenata), uz istovremeno zadovoljenje potreba KT, matične organizacije, zaposlenih i zainteresovanih strana.</w:t>
      </w:r>
    </w:p>
    <w:p w:rsidR="00DE4A15" w:rsidRPr="00D37289" w:rsidRDefault="00DE4A15" w:rsidP="00DE4A15">
      <w:pPr>
        <w:spacing w:line="65" w:lineRule="exact"/>
      </w:pPr>
    </w:p>
    <w:p w:rsidR="00DE4A15" w:rsidRPr="00D37289" w:rsidRDefault="00DE4A15" w:rsidP="00DE4A15">
      <w:pPr>
        <w:spacing w:line="229" w:lineRule="auto"/>
        <w:ind w:right="60"/>
        <w:jc w:val="both"/>
      </w:pPr>
      <w:r w:rsidRPr="00D37289">
        <w:rPr>
          <w:rFonts w:eastAsia="Arial"/>
        </w:rPr>
        <w:t>Osnovni cilj rada KT je ispunjenje zahteva klijenata za kontrolisanjem, u skladu sa obimom akreditacije i važećim propisima i standardima, uz neprekidno obezbeđenje poslovnog ambijenta za postizanje pojedinačnih ciljeva:</w:t>
      </w:r>
    </w:p>
    <w:p w:rsidR="00DE4A15" w:rsidRPr="00D37289" w:rsidRDefault="00DE4A15" w:rsidP="00DE4A15">
      <w:pPr>
        <w:spacing w:line="51" w:lineRule="exact"/>
      </w:pPr>
    </w:p>
    <w:p w:rsidR="00DE4A15" w:rsidRPr="00D37289" w:rsidRDefault="00DE4A15" w:rsidP="00DE4A15">
      <w:pPr>
        <w:numPr>
          <w:ilvl w:val="0"/>
          <w:numId w:val="1"/>
        </w:numPr>
        <w:tabs>
          <w:tab w:val="left" w:pos="500"/>
        </w:tabs>
        <w:ind w:left="500" w:hanging="366"/>
        <w:rPr>
          <w:rFonts w:eastAsia="Times New Roman"/>
        </w:rPr>
      </w:pPr>
      <w:r w:rsidRPr="00D37289">
        <w:rPr>
          <w:rFonts w:eastAsia="Arial"/>
        </w:rPr>
        <w:t>Nezavisnost u okviru Organizacije u meri koju zahteva izabrani tip KT.</w:t>
      </w:r>
    </w:p>
    <w:p w:rsidR="00DE4A15" w:rsidRPr="00D37289" w:rsidRDefault="00DE4A15" w:rsidP="00DE4A15">
      <w:pPr>
        <w:numPr>
          <w:ilvl w:val="0"/>
          <w:numId w:val="1"/>
        </w:numPr>
        <w:tabs>
          <w:tab w:val="left" w:pos="500"/>
        </w:tabs>
        <w:spacing w:line="231" w:lineRule="auto"/>
        <w:ind w:left="500" w:hanging="366"/>
        <w:rPr>
          <w:rFonts w:eastAsia="Times New Roman"/>
        </w:rPr>
      </w:pPr>
      <w:r w:rsidRPr="00D37289">
        <w:rPr>
          <w:rFonts w:eastAsia="Arial"/>
        </w:rPr>
        <w:t>Nepristrasno kontrolisanje, bez komercijalnih, finansijskih i drugih pritisaka.</w:t>
      </w:r>
    </w:p>
    <w:p w:rsidR="00DE4A15" w:rsidRPr="00D37289" w:rsidRDefault="00DE4A15" w:rsidP="00DE4A15">
      <w:pPr>
        <w:numPr>
          <w:ilvl w:val="0"/>
          <w:numId w:val="1"/>
        </w:numPr>
        <w:tabs>
          <w:tab w:val="left" w:pos="500"/>
        </w:tabs>
        <w:spacing w:line="233" w:lineRule="auto"/>
        <w:ind w:left="500" w:hanging="366"/>
        <w:rPr>
          <w:rFonts w:eastAsia="Times New Roman"/>
        </w:rPr>
      </w:pPr>
      <w:r w:rsidRPr="00D37289">
        <w:rPr>
          <w:rFonts w:eastAsia="Arial"/>
        </w:rPr>
        <w:t>Identifikaciju rizika po nepristrasnost i primenu mera za njegovo uklanjanje  ili kontrolisanje.</w:t>
      </w:r>
    </w:p>
    <w:p w:rsidR="00DE4A15" w:rsidRPr="00D37289" w:rsidRDefault="00DE4A15" w:rsidP="00DE4A15">
      <w:pPr>
        <w:numPr>
          <w:ilvl w:val="0"/>
          <w:numId w:val="1"/>
        </w:numPr>
        <w:tabs>
          <w:tab w:val="left" w:pos="500"/>
        </w:tabs>
        <w:spacing w:line="233" w:lineRule="auto"/>
        <w:ind w:left="500" w:hanging="366"/>
        <w:rPr>
          <w:rFonts w:eastAsia="Times New Roman"/>
        </w:rPr>
      </w:pPr>
      <w:r w:rsidRPr="00D37289">
        <w:rPr>
          <w:rFonts w:eastAsia="Arial"/>
        </w:rPr>
        <w:t>Poštovanje zakona, tehničkih propisa i standarda pri radu.</w:t>
      </w:r>
    </w:p>
    <w:p w:rsidR="00DE4A15" w:rsidRPr="00D37289" w:rsidRDefault="00DE4A15" w:rsidP="00DE4A15">
      <w:pPr>
        <w:numPr>
          <w:ilvl w:val="0"/>
          <w:numId w:val="1"/>
        </w:numPr>
        <w:tabs>
          <w:tab w:val="left" w:pos="500"/>
        </w:tabs>
        <w:spacing w:line="226" w:lineRule="auto"/>
        <w:ind w:left="500" w:hanging="366"/>
        <w:rPr>
          <w:rFonts w:eastAsia="Times New Roman"/>
        </w:rPr>
      </w:pPr>
      <w:r w:rsidRPr="00D37289">
        <w:rPr>
          <w:rFonts w:eastAsia="Arial"/>
        </w:rPr>
        <w:t>Obezbeđenje potrebne poverljivosti informacija koje se dobijaju ili nastaju tokom rada KT.</w:t>
      </w:r>
    </w:p>
    <w:p w:rsidR="00DE4A15" w:rsidRPr="00D37289" w:rsidRDefault="00DE4A15" w:rsidP="00DE4A15">
      <w:pPr>
        <w:numPr>
          <w:ilvl w:val="0"/>
          <w:numId w:val="1"/>
        </w:numPr>
        <w:tabs>
          <w:tab w:val="left" w:pos="500"/>
        </w:tabs>
        <w:spacing w:line="233" w:lineRule="auto"/>
        <w:ind w:left="500" w:hanging="366"/>
        <w:rPr>
          <w:rFonts w:eastAsia="Times New Roman"/>
        </w:rPr>
      </w:pPr>
      <w:r w:rsidRPr="00D37289">
        <w:rPr>
          <w:rFonts w:eastAsia="Arial"/>
        </w:rPr>
        <w:t>Održavanje dobrih odnosa sa klijentima, isporučiocima roba i usluga i pod</w:t>
      </w:r>
      <w:r w:rsidR="00D37289">
        <w:rPr>
          <w:rFonts w:eastAsia="Arial"/>
        </w:rPr>
        <w:t xml:space="preserve"> </w:t>
      </w:r>
      <w:r w:rsidRPr="00D37289">
        <w:rPr>
          <w:rFonts w:eastAsia="Arial"/>
        </w:rPr>
        <w:t>ugovaračima.</w:t>
      </w:r>
    </w:p>
    <w:p w:rsidR="00DE4A15" w:rsidRPr="00D37289" w:rsidRDefault="00DE4A15" w:rsidP="00DE4A15">
      <w:pPr>
        <w:numPr>
          <w:ilvl w:val="0"/>
          <w:numId w:val="1"/>
        </w:numPr>
        <w:tabs>
          <w:tab w:val="left" w:pos="500"/>
        </w:tabs>
        <w:spacing w:line="233" w:lineRule="auto"/>
        <w:ind w:left="500" w:hanging="366"/>
        <w:rPr>
          <w:rFonts w:eastAsia="Times New Roman"/>
        </w:rPr>
      </w:pPr>
      <w:r w:rsidRPr="00D37289">
        <w:rPr>
          <w:rFonts w:eastAsia="Arial"/>
        </w:rPr>
        <w:t>Podizanje kompetentnosti zaposlenih za  postizanja boljih rezultata u  radu.</w:t>
      </w:r>
    </w:p>
    <w:p w:rsidR="00DE4A15" w:rsidRPr="00D37289" w:rsidRDefault="00DE4A15" w:rsidP="00DE4A15">
      <w:pPr>
        <w:numPr>
          <w:ilvl w:val="0"/>
          <w:numId w:val="1"/>
        </w:numPr>
        <w:tabs>
          <w:tab w:val="left" w:pos="500"/>
        </w:tabs>
        <w:spacing w:line="233" w:lineRule="auto"/>
        <w:ind w:left="500" w:hanging="366"/>
        <w:rPr>
          <w:rFonts w:eastAsia="Times New Roman"/>
        </w:rPr>
      </w:pPr>
      <w:r w:rsidRPr="00D37289">
        <w:rPr>
          <w:rFonts w:eastAsia="Arial"/>
        </w:rPr>
        <w:t>Korišćenje adekvatne i ispravne opreme, uz očuvanje sledljivosti merenja.</w:t>
      </w:r>
    </w:p>
    <w:p w:rsidR="00DE4A15" w:rsidRPr="00D37289" w:rsidRDefault="00DE4A15" w:rsidP="00DE4A15">
      <w:pPr>
        <w:numPr>
          <w:ilvl w:val="0"/>
          <w:numId w:val="1"/>
        </w:numPr>
        <w:tabs>
          <w:tab w:val="left" w:pos="500"/>
        </w:tabs>
        <w:spacing w:line="234" w:lineRule="auto"/>
        <w:ind w:left="500" w:hanging="366"/>
        <w:rPr>
          <w:rFonts w:eastAsia="Times New Roman"/>
        </w:rPr>
      </w:pPr>
      <w:r w:rsidRPr="00D37289">
        <w:rPr>
          <w:rFonts w:eastAsia="Arial"/>
        </w:rPr>
        <w:t>Korišćenje propisanih metoda i uputstava za kontrolisanje.</w:t>
      </w:r>
    </w:p>
    <w:p w:rsidR="00DE4A15" w:rsidRPr="00D37289" w:rsidRDefault="00DE4A15" w:rsidP="00DE4A15">
      <w:pPr>
        <w:numPr>
          <w:ilvl w:val="0"/>
          <w:numId w:val="1"/>
        </w:numPr>
        <w:tabs>
          <w:tab w:val="left" w:pos="500"/>
        </w:tabs>
        <w:spacing w:line="235" w:lineRule="auto"/>
        <w:ind w:left="500" w:hanging="366"/>
        <w:rPr>
          <w:rFonts w:eastAsia="Times New Roman"/>
        </w:rPr>
      </w:pPr>
      <w:r w:rsidRPr="00D37289">
        <w:rPr>
          <w:rFonts w:eastAsia="Arial"/>
        </w:rPr>
        <w:t>Propisano izveštavanje o rezultatima kontrolisanja.</w:t>
      </w:r>
    </w:p>
    <w:p w:rsidR="00DE4A15" w:rsidRPr="00D37289" w:rsidRDefault="00DE4A15" w:rsidP="00DE4A15">
      <w:pPr>
        <w:numPr>
          <w:ilvl w:val="0"/>
          <w:numId w:val="1"/>
        </w:numPr>
        <w:tabs>
          <w:tab w:val="left" w:pos="500"/>
        </w:tabs>
        <w:spacing w:line="231" w:lineRule="auto"/>
        <w:ind w:left="500" w:hanging="366"/>
        <w:rPr>
          <w:rFonts w:eastAsia="Times New Roman"/>
        </w:rPr>
      </w:pPr>
      <w:r w:rsidRPr="00D37289">
        <w:rPr>
          <w:rFonts w:eastAsia="Arial"/>
        </w:rPr>
        <w:t>Prijem i obradu prigovora i žalbi klijenata na rad KT i rezultate kontrolisanja.</w:t>
      </w:r>
    </w:p>
    <w:p w:rsidR="00DE4A15" w:rsidRPr="00D37289" w:rsidRDefault="00DE4A15" w:rsidP="00DE4A15">
      <w:pPr>
        <w:numPr>
          <w:ilvl w:val="0"/>
          <w:numId w:val="1"/>
        </w:numPr>
        <w:tabs>
          <w:tab w:val="left" w:pos="500"/>
        </w:tabs>
        <w:spacing w:line="226" w:lineRule="auto"/>
        <w:ind w:left="500" w:hanging="366"/>
        <w:rPr>
          <w:rFonts w:eastAsia="Times New Roman"/>
        </w:rPr>
      </w:pPr>
      <w:r w:rsidRPr="00D37289">
        <w:rPr>
          <w:rFonts w:eastAsia="Arial"/>
        </w:rPr>
        <w:t>Obezbeđenje dobrog životnog standarda zaposlenih, nezavisno od rezultata rada KT</w:t>
      </w:r>
    </w:p>
    <w:p w:rsidR="00DE4A15" w:rsidRPr="00D37289" w:rsidRDefault="00DE4A15" w:rsidP="00DE4A15">
      <w:pPr>
        <w:numPr>
          <w:ilvl w:val="0"/>
          <w:numId w:val="1"/>
        </w:numPr>
        <w:tabs>
          <w:tab w:val="left" w:pos="500"/>
        </w:tabs>
        <w:spacing w:line="235" w:lineRule="auto"/>
        <w:ind w:left="500" w:hanging="366"/>
        <w:rPr>
          <w:rFonts w:eastAsia="Times New Roman"/>
        </w:rPr>
      </w:pPr>
      <w:r w:rsidRPr="00D37289">
        <w:rPr>
          <w:rFonts w:eastAsia="Arial"/>
        </w:rPr>
        <w:t>Očuvanje i poboljšavanje  bezbednosti i zdravlja zaposlenih tokom rada u KT</w:t>
      </w:r>
    </w:p>
    <w:p w:rsidR="00DE4A15" w:rsidRPr="00D37289" w:rsidRDefault="00DE4A15" w:rsidP="00DE4A15">
      <w:pPr>
        <w:spacing w:line="246" w:lineRule="exact"/>
      </w:pPr>
    </w:p>
    <w:p w:rsidR="00DE4A15" w:rsidRPr="00D37289" w:rsidRDefault="00DE4A15" w:rsidP="00DE4A15">
      <w:pPr>
        <w:spacing w:line="259" w:lineRule="auto"/>
        <w:ind w:right="60"/>
        <w:jc w:val="both"/>
      </w:pPr>
      <w:r w:rsidRPr="00D37289">
        <w:rPr>
          <w:rFonts w:eastAsia="Arial"/>
        </w:rPr>
        <w:t xml:space="preserve">Zaposleni </w:t>
      </w:r>
      <w:r w:rsidR="00D37289">
        <w:rPr>
          <w:rFonts w:eastAsia="Arial"/>
        </w:rPr>
        <w:t xml:space="preserve">su </w:t>
      </w:r>
      <w:r w:rsidRPr="00D37289">
        <w:rPr>
          <w:rFonts w:eastAsia="Arial"/>
        </w:rPr>
        <w:t>obavezni da svojim angažovanjem i postignutim rezultatima rada doprinose ostvarivanju navedenih pojedinačnih ciljeva, saglasno svojim kompetentnostima, odgovornosti i dodeljenim radnim zadacima u procesu kontrolisanja</w:t>
      </w:r>
    </w:p>
    <w:p w:rsidR="00DE4A15" w:rsidRPr="00D37289" w:rsidRDefault="00DE4A15" w:rsidP="00DE4A15">
      <w:pPr>
        <w:spacing w:line="355" w:lineRule="exact"/>
      </w:pPr>
    </w:p>
    <w:p w:rsidR="00DE4A15" w:rsidRPr="00D37289" w:rsidRDefault="00DE4A15" w:rsidP="00DE4A15">
      <w:pPr>
        <w:spacing w:line="237" w:lineRule="auto"/>
        <w:ind w:right="60"/>
        <w:jc w:val="both"/>
      </w:pPr>
      <w:r w:rsidRPr="00D37289">
        <w:rPr>
          <w:rFonts w:eastAsia="Arial"/>
          <w:b/>
          <w:bCs/>
        </w:rPr>
        <w:t>Ova Izjava o Politici i ciljevima KT je javno dostupna i obaveza je svih zaposlenih u KT, saradnika i podugovarača da je poštuju i sprovode tokom angažovanja u KT i realizovanja svojih svakodnevnih obaveza i radnih zadataka.</w:t>
      </w:r>
    </w:p>
    <w:p w:rsidR="00DE4A15" w:rsidRPr="00D37289" w:rsidRDefault="00DE4A15" w:rsidP="00DE4A15">
      <w:pPr>
        <w:spacing w:line="200" w:lineRule="exact"/>
      </w:pPr>
      <w:bookmarkStart w:id="0" w:name="_GoBack"/>
      <w:bookmarkEnd w:id="0"/>
    </w:p>
    <w:p w:rsidR="00DE4A15" w:rsidRPr="00D37289" w:rsidRDefault="00DE4A15" w:rsidP="00DE4A15">
      <w:pPr>
        <w:spacing w:line="200" w:lineRule="exact"/>
      </w:pPr>
    </w:p>
    <w:p w:rsidR="00DE4A15" w:rsidRPr="00D37289" w:rsidRDefault="00DE4A15" w:rsidP="00DE4A15">
      <w:pPr>
        <w:spacing w:line="279" w:lineRule="exact"/>
      </w:pPr>
    </w:p>
    <w:p w:rsidR="00DE4A15" w:rsidRDefault="00D37289" w:rsidP="00D37289">
      <w:pPr>
        <w:tabs>
          <w:tab w:val="left" w:pos="7200"/>
        </w:tabs>
      </w:pPr>
      <w:r w:rsidRPr="00D37289">
        <w:rPr>
          <w:rFonts w:eastAsia="Arial"/>
        </w:rPr>
        <w:t>NOVI BANOVCI</w:t>
      </w:r>
      <w:r>
        <w:rPr>
          <w:rFonts w:eastAsia="Arial"/>
        </w:rPr>
        <w:t>,</w:t>
      </w:r>
      <w:r w:rsidRPr="00D37289">
        <w:rPr>
          <w:rFonts w:eastAsia="Arial"/>
        </w:rPr>
        <w:t xml:space="preserve"> </w:t>
      </w:r>
      <w:r>
        <w:rPr>
          <w:rFonts w:eastAsia="Arial"/>
        </w:rPr>
        <w:t xml:space="preserve"> </w:t>
      </w:r>
      <w:r w:rsidR="00E61308">
        <w:rPr>
          <w:rFonts w:eastAsia="Arial"/>
        </w:rPr>
        <w:t>05.05.2023</w:t>
      </w:r>
      <w:r w:rsidRPr="00D37289">
        <w:rPr>
          <w:rFonts w:eastAsia="Arial"/>
        </w:rPr>
        <w:t>. godine</w:t>
      </w:r>
    </w:p>
    <w:p w:rsidR="00D37289" w:rsidRPr="00D37289" w:rsidRDefault="00D37289" w:rsidP="00D37289">
      <w:pPr>
        <w:pStyle w:val="NoSpacing"/>
        <w:rPr>
          <w:rFonts w:eastAsiaTheme="minorHAnsi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1308">
        <w:t xml:space="preserve">           </w:t>
      </w:r>
      <w:r w:rsidRPr="00D37289">
        <w:rPr>
          <w:rFonts w:eastAsiaTheme="minorHAnsi"/>
          <w:lang w:eastAsia="en-US"/>
        </w:rPr>
        <w:t>Direktor</w:t>
      </w:r>
    </w:p>
    <w:p w:rsidR="00D37289" w:rsidRDefault="00D37289" w:rsidP="00D37289">
      <w:pPr>
        <w:pStyle w:val="NoSpacing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</w:t>
      </w:r>
    </w:p>
    <w:p w:rsidR="00D37289" w:rsidRPr="00D37289" w:rsidRDefault="00E61308" w:rsidP="00D37289">
      <w:pPr>
        <w:pStyle w:val="NoSpacing"/>
        <w:ind w:left="5664" w:firstLine="708"/>
        <w:rPr>
          <w:rFonts w:eastAsiaTheme="minorHAnsi"/>
          <w:lang w:eastAsia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E3EBE42" wp14:editId="2815D7C0">
            <wp:simplePos x="0" y="0"/>
            <wp:positionH relativeFrom="column">
              <wp:posOffset>167005</wp:posOffset>
            </wp:positionH>
            <wp:positionV relativeFrom="paragraph">
              <wp:posOffset>45720</wp:posOffset>
            </wp:positionV>
            <wp:extent cx="1200150" cy="1200150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lang w:eastAsia="en-US"/>
        </w:rPr>
        <w:t>Branka Bursać</w:t>
      </w:r>
      <w:r w:rsidR="00D37289" w:rsidRPr="00D37289">
        <w:rPr>
          <w:rFonts w:eastAsiaTheme="minorHAnsi"/>
          <w:lang w:eastAsia="en-US"/>
        </w:rPr>
        <w:t xml:space="preserve"> Vranješ</w:t>
      </w:r>
    </w:p>
    <w:p w:rsidR="00E61308" w:rsidRDefault="00E61308" w:rsidP="00E61308">
      <w:pPr>
        <w:tabs>
          <w:tab w:val="left" w:pos="6132"/>
        </w:tabs>
        <w:jc w:val="right"/>
      </w:pPr>
      <w:r>
        <w:tab/>
      </w:r>
      <w:r w:rsidRPr="00075B51">
        <w:object w:dxaOrig="8565" w:dyaOrig="1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8pt;height:33pt" o:ole="">
            <v:imagedata r:id="rId9" o:title=""/>
          </v:shape>
          <o:OLEObject Type="Embed" ProgID="PBrush" ShapeID="_x0000_i1025" DrawAspect="Content" ObjectID="_1745796986" r:id="rId10"/>
        </w:object>
      </w:r>
    </w:p>
    <w:p w:rsidR="00E61308" w:rsidRDefault="00E61308" w:rsidP="00E61308"/>
    <w:p w:rsidR="008F1DF7" w:rsidRPr="00E61308" w:rsidRDefault="00E61308" w:rsidP="00E61308">
      <w:pPr>
        <w:tabs>
          <w:tab w:val="left" w:pos="5076"/>
        </w:tabs>
      </w:pPr>
      <w:r>
        <w:tab/>
      </w:r>
    </w:p>
    <w:sectPr w:rsidR="008F1DF7" w:rsidRPr="00E6130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73F" w:rsidRDefault="006B073F" w:rsidP="00DE4A15">
      <w:r>
        <w:separator/>
      </w:r>
    </w:p>
  </w:endnote>
  <w:endnote w:type="continuationSeparator" w:id="0">
    <w:p w:rsidR="006B073F" w:rsidRDefault="006B073F" w:rsidP="00DE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A15" w:rsidRDefault="00D37289">
    <w:pPr>
      <w:pStyle w:val="Footer"/>
    </w:pPr>
    <w:r>
      <w:t>OB.PO</w:t>
    </w:r>
    <w:r w:rsidR="002D1632">
      <w:t>K</w:t>
    </w:r>
    <w:r w:rsidR="00E61308">
      <w:t>.21, Izdanje 2</w:t>
    </w:r>
  </w:p>
  <w:p w:rsidR="00DE4A15" w:rsidRDefault="00DE4A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73F" w:rsidRDefault="006B073F" w:rsidP="00DE4A15">
      <w:r>
        <w:separator/>
      </w:r>
    </w:p>
  </w:footnote>
  <w:footnote w:type="continuationSeparator" w:id="0">
    <w:p w:rsidR="006B073F" w:rsidRDefault="006B073F" w:rsidP="00DE4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08" w:rsidRDefault="00E61308" w:rsidP="00E61308">
    <w:pPr>
      <w:tabs>
        <w:tab w:val="center" w:pos="4536"/>
        <w:tab w:val="right" w:pos="9072"/>
      </w:tabs>
      <w:jc w:val="center"/>
      <w:rPr>
        <w:rFonts w:eastAsia="Calibri"/>
        <w:b/>
        <w:color w:val="FF0000"/>
        <w:lang w:eastAsia="en-US"/>
      </w:rPr>
    </w:pPr>
    <w:r w:rsidRPr="00BA4F5E">
      <w:rPr>
        <w:noProof/>
        <w:lang w:val="en-GB" w:eastAsia="en-GB"/>
      </w:rPr>
      <w:drawing>
        <wp:inline distT="0" distB="0" distL="0" distR="0" wp14:anchorId="068AD555" wp14:editId="1726D76D">
          <wp:extent cx="819785" cy="819785"/>
          <wp:effectExtent l="0" t="0" r="0" b="0"/>
          <wp:docPr id="12551744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029679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66FD">
      <w:rPr>
        <w:rFonts w:eastAsia="Calibri"/>
        <w:b/>
        <w:color w:val="FF0000"/>
        <w:lang w:eastAsia="en-US"/>
      </w:rPr>
      <w:t xml:space="preserve"> </w:t>
    </w:r>
  </w:p>
  <w:p w:rsidR="00E61308" w:rsidRPr="00AA751D" w:rsidRDefault="00E61308" w:rsidP="00E61308">
    <w:pPr>
      <w:tabs>
        <w:tab w:val="center" w:pos="4536"/>
        <w:tab w:val="right" w:pos="9072"/>
      </w:tabs>
      <w:jc w:val="center"/>
      <w:rPr>
        <w:rFonts w:eastAsia="Calibri"/>
        <w:b/>
        <w:color w:val="FF0000"/>
        <w:lang w:eastAsia="en-US"/>
      </w:rPr>
    </w:pPr>
    <w:r w:rsidRPr="00AA751D">
      <w:rPr>
        <w:rFonts w:eastAsia="Calibri"/>
        <w:b/>
        <w:color w:val="FF0000"/>
        <w:lang w:eastAsia="en-US"/>
      </w:rPr>
      <w:t xml:space="preserve">Patrijarha Pavla 8, </w:t>
    </w:r>
    <w:proofErr w:type="spellStart"/>
    <w:r w:rsidRPr="00AA751D">
      <w:rPr>
        <w:rFonts w:eastAsia="Calibri"/>
        <w:b/>
        <w:color w:val="FF0000"/>
        <w:lang w:val="en-US" w:eastAsia="en-US"/>
      </w:rPr>
      <w:t>lokal</w:t>
    </w:r>
    <w:proofErr w:type="spellEnd"/>
    <w:r w:rsidRPr="00AA751D">
      <w:rPr>
        <w:rFonts w:eastAsia="Calibri"/>
        <w:b/>
        <w:color w:val="FF0000"/>
        <w:lang w:val="en-US" w:eastAsia="en-US"/>
      </w:rPr>
      <w:t xml:space="preserve"> 8,</w:t>
    </w:r>
    <w:r w:rsidRPr="00AA751D">
      <w:rPr>
        <w:rFonts w:eastAsia="Calibri"/>
        <w:b/>
        <w:color w:val="FF0000"/>
        <w:lang w:eastAsia="en-US"/>
      </w:rPr>
      <w:t xml:space="preserve"> 22304 Novi Banovci</w:t>
    </w:r>
  </w:p>
  <w:p w:rsidR="00E61308" w:rsidRPr="00AA751D" w:rsidRDefault="00E61308" w:rsidP="00E61308">
    <w:pPr>
      <w:tabs>
        <w:tab w:val="center" w:pos="4536"/>
        <w:tab w:val="right" w:pos="9072"/>
      </w:tabs>
      <w:jc w:val="center"/>
      <w:rPr>
        <w:rFonts w:eastAsia="Calibri"/>
        <w:b/>
        <w:color w:val="FF0000"/>
        <w:lang w:eastAsia="en-US"/>
      </w:rPr>
    </w:pPr>
    <w:r w:rsidRPr="00AA751D">
      <w:rPr>
        <w:rFonts w:eastAsia="Calibri"/>
        <w:b/>
        <w:color w:val="FF0000"/>
        <w:lang w:eastAsia="en-US"/>
      </w:rPr>
      <w:t>Telefon 022/348010</w:t>
    </w:r>
  </w:p>
  <w:p w:rsidR="00E61308" w:rsidRPr="000D66FD" w:rsidRDefault="00E61308" w:rsidP="00E61308">
    <w:pPr>
      <w:tabs>
        <w:tab w:val="center" w:pos="4536"/>
        <w:tab w:val="right" w:pos="9072"/>
      </w:tabs>
      <w:jc w:val="center"/>
      <w:rPr>
        <w:rFonts w:eastAsia="Calibri"/>
        <w:b/>
        <w:color w:val="FF0000"/>
        <w:lang w:val="en-US" w:eastAsia="en-US"/>
      </w:rPr>
    </w:pPr>
    <w:r w:rsidRPr="00AA751D">
      <w:rPr>
        <w:rFonts w:eastAsia="Calibri"/>
        <w:b/>
        <w:color w:val="FF0000"/>
        <w:lang w:eastAsia="en-US"/>
      </w:rPr>
      <w:t>Email</w:t>
    </w:r>
    <w:r w:rsidRPr="000D66FD">
      <w:rPr>
        <w:rFonts w:eastAsia="Calibri"/>
        <w:b/>
        <w:color w:val="FF0000"/>
        <w:lang w:eastAsia="en-US"/>
      </w:rPr>
      <w:t xml:space="preserve">: </w:t>
    </w:r>
    <w:hyperlink r:id="rId2" w:history="1">
      <w:r w:rsidRPr="000D66FD">
        <w:rPr>
          <w:rStyle w:val="Hyperlink"/>
          <w:rFonts w:eastAsia="Calibri"/>
          <w:b/>
          <w:color w:val="FF0000"/>
          <w:lang w:eastAsia="en-US"/>
        </w:rPr>
        <w:t>institutbi</w:t>
      </w:r>
      <w:r w:rsidRPr="000D66FD">
        <w:rPr>
          <w:rStyle w:val="Hyperlink"/>
          <w:rFonts w:eastAsia="Calibri"/>
          <w:b/>
          <w:color w:val="FF0000"/>
          <w:lang w:val="en-US" w:eastAsia="en-US"/>
        </w:rPr>
        <w:t>t@gmail.com</w:t>
      </w:r>
    </w:hyperlink>
  </w:p>
  <w:p w:rsidR="00DE4A15" w:rsidRPr="00E61308" w:rsidRDefault="00E61308" w:rsidP="00E61308">
    <w:pPr>
      <w:tabs>
        <w:tab w:val="center" w:pos="4536"/>
        <w:tab w:val="right" w:pos="9072"/>
      </w:tabs>
      <w:jc w:val="center"/>
      <w:rPr>
        <w:rFonts w:eastAsia="Calibri"/>
        <w:b/>
        <w:color w:val="FF0000"/>
        <w:lang w:val="en-US" w:eastAsia="en-US"/>
      </w:rPr>
    </w:pPr>
    <w:hyperlink r:id="rId3" w:history="1">
      <w:r w:rsidRPr="000D66FD">
        <w:rPr>
          <w:rStyle w:val="Hyperlink"/>
          <w:rFonts w:eastAsia="Calibri"/>
          <w:b/>
          <w:color w:val="FF0000"/>
          <w:lang w:val="en-US" w:eastAsia="en-US"/>
        </w:rPr>
        <w:t>www.ibit.rs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4F9ED0B2"/>
    <w:lvl w:ilvl="0" w:tplc="C3C03A90">
      <w:start w:val="1"/>
      <w:numFmt w:val="bullet"/>
      <w:lvlText w:val="-"/>
      <w:lvlJc w:val="left"/>
    </w:lvl>
    <w:lvl w:ilvl="1" w:tplc="14FA3DD6">
      <w:numFmt w:val="decimal"/>
      <w:lvlText w:val=""/>
      <w:lvlJc w:val="left"/>
    </w:lvl>
    <w:lvl w:ilvl="2" w:tplc="9B2695D2">
      <w:numFmt w:val="decimal"/>
      <w:lvlText w:val=""/>
      <w:lvlJc w:val="left"/>
    </w:lvl>
    <w:lvl w:ilvl="3" w:tplc="0FAEF9A4">
      <w:numFmt w:val="decimal"/>
      <w:lvlText w:val=""/>
      <w:lvlJc w:val="left"/>
    </w:lvl>
    <w:lvl w:ilvl="4" w:tplc="A984E158">
      <w:numFmt w:val="decimal"/>
      <w:lvlText w:val=""/>
      <w:lvlJc w:val="left"/>
    </w:lvl>
    <w:lvl w:ilvl="5" w:tplc="68FE7410">
      <w:numFmt w:val="decimal"/>
      <w:lvlText w:val=""/>
      <w:lvlJc w:val="left"/>
    </w:lvl>
    <w:lvl w:ilvl="6" w:tplc="23189EE2">
      <w:numFmt w:val="decimal"/>
      <w:lvlText w:val=""/>
      <w:lvlJc w:val="left"/>
    </w:lvl>
    <w:lvl w:ilvl="7" w:tplc="AD1A2C28">
      <w:numFmt w:val="decimal"/>
      <w:lvlText w:val=""/>
      <w:lvlJc w:val="left"/>
    </w:lvl>
    <w:lvl w:ilvl="8" w:tplc="4D96C2A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76"/>
    <w:rsid w:val="002D1632"/>
    <w:rsid w:val="006B073F"/>
    <w:rsid w:val="008F1DF7"/>
    <w:rsid w:val="00D35676"/>
    <w:rsid w:val="00D37289"/>
    <w:rsid w:val="00DE4A15"/>
    <w:rsid w:val="00E6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5"/>
    <w:pPr>
      <w:spacing w:after="0" w:line="240" w:lineRule="auto"/>
    </w:pPr>
    <w:rPr>
      <w:rFonts w:ascii="Times New Roman" w:eastAsiaTheme="minorEastAsia" w:hAnsi="Times New Roman" w:cs="Times New Roman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A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A15"/>
    <w:rPr>
      <w:rFonts w:ascii="Times New Roman" w:eastAsiaTheme="minorEastAsia" w:hAnsi="Times New Roman" w:cs="Times New Roman"/>
      <w:lang w:eastAsia="sr-Latn-RS"/>
    </w:rPr>
  </w:style>
  <w:style w:type="paragraph" w:styleId="Footer">
    <w:name w:val="footer"/>
    <w:basedOn w:val="Normal"/>
    <w:link w:val="FooterChar"/>
    <w:uiPriority w:val="99"/>
    <w:unhideWhenUsed/>
    <w:rsid w:val="00DE4A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A15"/>
    <w:rPr>
      <w:rFonts w:ascii="Times New Roman" w:eastAsiaTheme="minorEastAsia" w:hAnsi="Times New Roman" w:cs="Times New Roman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A15"/>
    <w:rPr>
      <w:rFonts w:ascii="Tahoma" w:eastAsiaTheme="minorEastAsia" w:hAnsi="Tahoma" w:cs="Tahoma"/>
      <w:sz w:val="16"/>
      <w:szCs w:val="16"/>
      <w:lang w:eastAsia="sr-Latn-RS"/>
    </w:rPr>
  </w:style>
  <w:style w:type="paragraph" w:styleId="NoSpacing">
    <w:name w:val="No Spacing"/>
    <w:uiPriority w:val="1"/>
    <w:qFormat/>
    <w:rsid w:val="00D37289"/>
    <w:pPr>
      <w:spacing w:after="0" w:line="240" w:lineRule="auto"/>
    </w:pPr>
    <w:rPr>
      <w:rFonts w:ascii="Times New Roman" w:eastAsiaTheme="minorEastAsia" w:hAnsi="Times New Roman" w:cs="Times New Roman"/>
      <w:lang w:eastAsia="sr-Latn-RS"/>
    </w:rPr>
  </w:style>
  <w:style w:type="character" w:styleId="Hyperlink">
    <w:name w:val="Hyperlink"/>
    <w:rsid w:val="00E613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5"/>
    <w:pPr>
      <w:spacing w:after="0" w:line="240" w:lineRule="auto"/>
    </w:pPr>
    <w:rPr>
      <w:rFonts w:ascii="Times New Roman" w:eastAsiaTheme="minorEastAsia" w:hAnsi="Times New Roman" w:cs="Times New Roman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A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A15"/>
    <w:rPr>
      <w:rFonts w:ascii="Times New Roman" w:eastAsiaTheme="minorEastAsia" w:hAnsi="Times New Roman" w:cs="Times New Roman"/>
      <w:lang w:eastAsia="sr-Latn-RS"/>
    </w:rPr>
  </w:style>
  <w:style w:type="paragraph" w:styleId="Footer">
    <w:name w:val="footer"/>
    <w:basedOn w:val="Normal"/>
    <w:link w:val="FooterChar"/>
    <w:uiPriority w:val="99"/>
    <w:unhideWhenUsed/>
    <w:rsid w:val="00DE4A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A15"/>
    <w:rPr>
      <w:rFonts w:ascii="Times New Roman" w:eastAsiaTheme="minorEastAsia" w:hAnsi="Times New Roman" w:cs="Times New Roman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A15"/>
    <w:rPr>
      <w:rFonts w:ascii="Tahoma" w:eastAsiaTheme="minorEastAsia" w:hAnsi="Tahoma" w:cs="Tahoma"/>
      <w:sz w:val="16"/>
      <w:szCs w:val="16"/>
      <w:lang w:eastAsia="sr-Latn-RS"/>
    </w:rPr>
  </w:style>
  <w:style w:type="paragraph" w:styleId="NoSpacing">
    <w:name w:val="No Spacing"/>
    <w:uiPriority w:val="1"/>
    <w:qFormat/>
    <w:rsid w:val="00D37289"/>
    <w:pPr>
      <w:spacing w:after="0" w:line="240" w:lineRule="auto"/>
    </w:pPr>
    <w:rPr>
      <w:rFonts w:ascii="Times New Roman" w:eastAsiaTheme="minorEastAsia" w:hAnsi="Times New Roman" w:cs="Times New Roman"/>
      <w:lang w:eastAsia="sr-Latn-RS"/>
    </w:rPr>
  </w:style>
  <w:style w:type="character" w:styleId="Hyperlink">
    <w:name w:val="Hyperlink"/>
    <w:rsid w:val="00E61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bit.rs" TargetMode="External"/><Relationship Id="rId2" Type="http://schemas.openxmlformats.org/officeDocument/2006/relationships/hyperlink" Target="mailto:institutbit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djordjevranjes</cp:lastModifiedBy>
  <cp:revision>4</cp:revision>
  <dcterms:created xsi:type="dcterms:W3CDTF">2022-01-06T11:47:00Z</dcterms:created>
  <dcterms:modified xsi:type="dcterms:W3CDTF">2023-05-17T00:49:00Z</dcterms:modified>
</cp:coreProperties>
</file>